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Договор на оказание услуг по вывозу твердых коммунальных отходов № ____ГЭП/ТКО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гор. Москва                                                                                                                   «___» _________202_ года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Общество с ограниченной ответственностью «ГлавЭкоПром»,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именуемое в дальнейшем «Заказчик», в лице генерального директора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Гукасова А.С.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действующей на основании Устава, с одной стороны, и 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именуемое в дальнейшем «Заказчик», в лице ___________________________________________, действующего на основании Устава, вместе именуемые «Стороны», заключили настоящий договор (именуемый далее - Договор),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1.1. Исполнитель обязуется оказывать услуги по вывозу и утилизации отходов, образующегося в результате деятельности Заказчика, и (или) от объектов Заказчика, указанных в приложении № 1 к настоящему Договору, а Заказчик обязуется оплатить оказанные услуги в порядке, предусмотренном настоящим Договором.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1.2. Исполнитель оказывает услуги с исполнением своей техники (механизмов) для отходов 5, 4 класса опасности, а Заказчик обязуется принять и оплатить выполненные работы.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1.3. Месторасположение объекта Заказчика указывается в Стоимости услуг являющейся Приложении №1 к настоящему Договору, которое является неотъемлемой его частью.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1.4. Установка контейнеров на объектах Заказчика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и на иных указанных им территориях фиксируется сторонами в Акте, согласованном сторонами.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1.5. Дата начала оказания услуг по настоящему Договору: дата подписания настоящего Договора.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Дата окончания оказания услуг по настоящему Договору: дата прекращения действия настоящего Договора.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УСЛОВИЯ ОКАЗАНИЯ УСЛУГ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2.1. Услуги оказываются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Исполнителем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объеме и периодичностью указанным в Приложением №1 к настоящему Договору.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случае вывоза мусора по заявке, подаваемой Заказчиком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на электронную почту Исполнителя указанную в настоящем Договоре, таковая подлежит исполнению в срок не позднее 24 (двадцати четырех) часов с момента ее получения Исполнителем.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2.2. Контейнеры предоставляются Исполнителем и являются его собственностью, в собственность Заказчика не переходят.</w:t>
      </w:r>
    </w:p>
    <w:p w:rsidR="00000000" w:rsidDel="00000000" w:rsidP="00000000" w:rsidRDefault="00000000" w:rsidRPr="00000000" w14:paraId="00000011">
      <w:pPr>
        <w:tabs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2.3. Ежемесячно, по окончанию оказания услуг в отчетом месяце Стороны подписывают Акты об оказанных услугах в порядке, предусмотренном в настоящем Договоре.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СТОИМОСТЬ УСЛУГ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3.1. Стоимость услуг (тарифы) Исполнителя, оказываемых в соответствии с настоящим Договором, указана в Приложении № 1, являющемся неотъемлемой частью настоящего договора.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3.2. Исполнитель вправе изменять стоимость услуг по Договору, в том числе в случае изменения стоимости рабочей силы на рынке труда, роста цен на ГСМ и утилизацию отходов в одностороннем порядке. При изменении стоимости услуг по Договору Исполнитель обязан письменно уведомить Заказчика об изменении не менее чем за 15 календарных дней до введения его в действие. В случае согласия Заказчика с новыми тарифами Стороны заключают дополнительное соглашение к настоящему Договору.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В случае несогласия Заказчика со стоимостью услуг измененной в соответствии с п. 3.2. Договора Заказчик вправе отказаться от исполнения Договора, уведомив Исполнителя в письменной форме не позднее чем за 15 (Пятнадцать) календарных дней до даты до введения тарифа в действие.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3.4. Исполнитель, по факту выполненных услуг направляет Заказчику следующие документы: подписанный со своей стороны акт сдачи-приемки оказанных услуг, счет, копии утилизационных талонов на размещение отходов с лицензированным объектом утилизации, подтверждающих сдачу отходов на объекты.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3.5. Заказчик обязан подписать акт сдачи-приемки оказанных услуг в течение 5 (Пять) рабочих дней с даты получения, либо направить в адрес Исполнителя мотивированный отказ от приемки работ.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3.6. В случае не предоставления Заказчиком в срок указанный в п. 3.5. Договора мотивированного отказа от приемки работ по настоящему Договору, Исполнитель считается выполнившим свои обязательства по Договору в полном объеме и в надлежащий срок.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3.7. Оплата услуг по настоящему Договору производится Заказчиком ежемесячно, в течение 30 (Тридцати) календарных дней с момента подписания акта сдачи-приемки оказанных услуг, путем перечисления денежных средств на расчетный счет Исполнителя.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3.8. Обязательства Заказчика по оплате услуг Исполнителя считаются исполненными в момент зачисления денежных средств на расчетный счет Исполнителя.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ОБЯЗАННОСТИ И ПРАВА ИСПОЛНИТЕЛЯ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4.1. Исполнитель обязан:</w:t>
      </w:r>
    </w:p>
    <w:p w:rsidR="00000000" w:rsidDel="00000000" w:rsidP="00000000" w:rsidRDefault="00000000" w:rsidRPr="00000000" w14:paraId="0000001F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4.1.1. Организовать оказание услуг по обращению с отходами. Исполнитель обязан обеспечить соблюдение действующих требований законодательства РФ, предъявляемых к деятельности Исполнителя, к транспортным средствам, перевозящим ТКО.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4.1.2. Производить уборку отходов, просыпавшихся при их перегрузке из контейнеров в мусоровозы.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4.1.3. Предоставлять Заказчику по соответствующему письменному запросу контейнеры для накопления отходов, поддерживать их в надлежащем техническом состоянии, производить ремонт контейнеров, при условии, что повреждение контейнера не было следствием виновных действий Заказчика. В случае повреждения контейнера, которое произошло в результате документально подтвержденных виновных действий Заказчика: ремонт контейнера производится силами Исполнителя, за счет Заказчика.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4.1.4. При повреждении контейнера осуществить его ремонт или замену не позднее следующего рабочего дня с даты уведомления, направленного Заказчиком на электронную почту Исполнителя.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4.2. Исполнитель имеет право: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4.2.1. Привлечь для оказания услуг по Договору Соисполнителей без письменного согласования с Заказчиком. При этом Исполнитель несет перед Заказчиком всю ответственность за выполнение и/или невыполнение Соисполнителями условий Договора.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4.2.2. Приостановить оказание услуг по настоящему Договору в случае нарушения сроков оплаты установленных разделом 3 настоящего Договора, с предварительным уведомлением Заказчика за 10 (десять) рабочих дней.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4.2.3. Отказаться от исполнения настоящего Договора при неоднократном (более двух раз) нарушении сроков оплаты устновленых разделом 3 настоящего Договора, с предварительным уведомлением Заказчика за 10 (десять) рабочих дней.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 ОБЯЗАННОСТИ И ПРАВА ЗАКАЗЧИКА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5.1. Заказчик обязан: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5.1.1. Своевременно и в полном объеме производить оплату услуг Исполнителя за расчетный период в соответствии с требованиями раздела 3 настоящего Договора.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5.1.2. Производить сбор отходов в пределах объема и по адресам, установленных настоящим Договором.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5.1.3. При использовании контейнеров Исполнителя, предоставить Исполнителю места для установки контейнеров с хорошей подъездной территорией для надлежащего транспорта, которым осуществляется вывоз ТКО Исполнителем.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5.1.4. Запрещается загружать в контейнеры строительный и/или крупногабаритный мусор. Контейнеры, загруженные строительным и/или крупногабаритным мусором и/или со следами горения, вывозу не подлежат.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5.1.5. При наличии у Заказчика собственных площадок для сбора и накопления отходов содержать их в частоте, обеспечивать к ним свободный подъезд мусоровозов Исполнителя, в зимний период времени своевременно расчищать подъездные пути и территорию мест сбора и накопления отходов от снега и льда, не допускать сжигание отходов в местах сбора и накопления отходов.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5.1.6. Предъявлять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Исполнителю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только те отходы, которые указаны в п. 1.1. и п. 1.2. настоящего Договора и отвечающие следующим требованиям: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  <w:tab w:val="left" w:pos="666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Имеют класс опасности, указанный в настоящем Договоре;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не являются взрывоопасными и самовозгорающимися;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не содержат радиоактивных, инфекционных, химически активных и подобных им составных частей и загрязнений;</w:t>
      </w:r>
    </w:p>
    <w:p w:rsidR="00000000" w:rsidDel="00000000" w:rsidP="00000000" w:rsidRDefault="00000000" w:rsidRPr="00000000" w14:paraId="00000033">
      <w:pPr>
        <w:tabs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5.1.7. Ответственность за состояние контейнерных площадок, мест размещение контейнеров возлагается на Заказчика. В случае выявлений каких-либо нарушений органами местного самоуправления, санитарным и Государственным административным техническим надзором и иными органами в соответствии с законодательством РФ, Заказчик несет административную  и иную ответственность, за место постановки контейнеров накопителей, общее санитарное состояние закрепленной за ними территории, за возгорание  бытовых отходов в контейнера, за замораживания в местах складирования и за иные выявленные нарушения, в том числе ответственность за состояние прилегающей территории не менее 5 метров возлагается на Заказчика.</w:t>
      </w:r>
    </w:p>
    <w:p w:rsidR="00000000" w:rsidDel="00000000" w:rsidP="00000000" w:rsidRDefault="00000000" w:rsidRPr="00000000" w14:paraId="00000034">
      <w:pPr>
        <w:tabs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5.1.8. При исполнении настоящего Договора Заказчик обязан руководствоваться СанПиН 42-128-4690-88 «Санитарные правила содержания территорий населенных мест» (утв. Главным государственным санитарным врачом СССР) и действующим законодательством Российской Федерации.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5.1.9. Заказчик обязан принимать оказанные услуги путем подписания акта сдачи-приемки услуг. Акт сдачи-приемки услуг отправляется Исполнителем на электронную почту Заказчика с последующим направлением оригинала Акта сдачи-приемки услуг.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5.1.10. Заказчик несет полную материальную ответственность за контейнеры Исполнителя и их техническое состояние: в том числе за сохранность предоставленного контейнера (кража, порча, возгорание и т.п.), и возмещает ущерб за порчу или утрату в размере стоимости контейнера, или ремонта контейнера, указанную Исполнителем. При предоставлении контейнера Заказчик обязан подписать акт в котором фиксируется месторасположение контейнера, при приемке Заказчик обязан осмотреть контейнер и указать все недостатки принимаемого Заказчиком контейнера, Заказчик несет ответственность за все недостатки контейнера, обнаруженные Исполнителем при возврате контейнера и не указанные Заказчиком при приемке в Акте при приемке контейнера и определении его месторасположения. По окончанию оказания услуг по настоящему Договору Заказник обязан вернуть Исполнителю контейнер по Акту сдачи-приемки в состоянии не хуже, чем в момент принятия Заказчиком контейнера от Исполнителя с учетом естественного износа.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5.1.11. Заказчик обязан оплачивать услуги, оказанные Исполнителем по настоящему Договору и в порядке, установленном Договором, а также оплачивать проведение дополнительных работ, не учтенных Договором, и согласованных с Исполнителем и выполненных Исполнителем.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5.2. Заказчик имеет право: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5.2.1. Передавать Исполнителю заявки по замене и/или ремонту контейнеров для сбора и накопления отходов.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Осуществлять контроль за деятельностью Исполнителя, не вмешиваясь в деятельность Исполнителя. В случае выявления нарушений условий Договора, Заказчик вправе составить акт выявленных нарушений при обязательном участии представителя Исполнителя, акт выявленных нарушений подписывается уполномоченными представителями Сторон: без участия представителя Исполнителя акты не составляются и не подписываются.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right="0" w:hanging="50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6.2. В случае неисполнения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Заказчиком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своих обязательств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настоящему Договору Заказчик выплачивает Исполнителю пени в размере 0,1 % от суммы неисполненных обязательств за каждый день просрочки платежа.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освобождается от уплаты неустойки, если докажет, что просрочка исполнителя указанного обязательства произошла вследствие непреодолимой силы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6.4.  В случае задержки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Исполнителем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вывоза отходов более чем на 5 (пять) рабочих дней,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вправе потребовать от Исполнителя в письменной форме оплаты пени размере 0,1 % от суммы неисполненных обязательств за каждый день просрочки платежа. Факт нарушения вывоза отходов (ТКО и КГМ) фиксируются актом, подписываемым Сторонами.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6.5.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самостоятельно оплачивается экологические платежи и другие платежи, касающиеся его деятельности.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6.6. В случае порожнего прогона автотранспорта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по заявке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Заказчика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обязан оплатить убытки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Под порожним прогоном понимается: невозможность свободного подъезда к контейнерной площадке, пустые контейнеры, размещение контейнеров по адресу, несоответствующего адреса указанному в настоящем Договоре или Приложении к нему.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6.7. Все претензии и требования по оплате штрафных санкций оформляются сторонами в письменном виде. Без предъявления письменной претензии штрафные санкции не начисляются и не оплачиваются Сторонами.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ФОРС-МАЖОРНЫЕ ОБСТОЯТЕЛЬСТВА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событий или обстоятельств непреодолимой силы, возникшие после заключения Договора в результате событий чрезвычайного характера, которые одна из Сторон не могла предвидеть и предотвратить. К таким событиям и обстоятельствам, в частности относят: стихийные бедствия, гражданские волнения, объявленную или фактическую войну, эпидемии, блокаду, эмбарго, землетрясения, наводнения, пожары, другие стихийные бедствия, а также изменения Федерального Законодательства.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7.2.  При наступлении обстоятельств, указанных в п. 7.1., Сторона, для которой произошло наступление этих событий, должна в максимально возможный срок известить другую Сторону об их наступлении.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7.3. Если обстоятельства непреодолимой силы действуют на протяжении 3 (трех) последовательных месяцев и не обнаруживают признаков прекращения, Стороны Договора имеют право его расторгнуть до истечения срока его действия, приняв все меры для проведения взаимных расчетов.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8. РАЗРЕШЕНИЕ СПОРОВ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8.1. Все споры и разногласия, вытекающие из условий настоящего Договора, разрешаются «Сторонами» путем переговоров.  В случае если Сторонам не удалось урегулировать спор путем переговоров, для Сторон обязателен досудебный письменный претензионный порядок урегулирования спора. Срок рассмотрения претензии составляет 10 (десять) рабочих дней с момента ее получения Стороной. Направление претензий осуществляется Сторонами по почте по реквизитам Сторон указанным в Договоре.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8.2. В случае невозможности разрешения споров путем переговоров, а также в претензионном порядке, спор будет передан на рассмотрение в Арбитражный суд гор. Москвы.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9. ДОПОЛНИТЕЛЬНЫЕ УСЛОВИЯ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9.1. Все приложения и дополнения к настоящему Договору действительны лишь в том случае, если они оформлены в письменной форме, подписаны обеими Сторонами и содержат ссылки на настоящий Договор.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 СРОК ДЕЙСТВИЯ ДОГОВОРА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10.1. Договор вступает в силу с момента подписания и действует до __. __.202_ года.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10.2. Настоящий Договор может быть расторгнут по соглашению Сторон, о чем заинтересованная Сторона письменно уведомляет другую Сторону не позднее, чем за 30 дней до предполагаемой даты расторжения.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10.3. Обязательства Сторон, возникшие до момента расторжения Договора, подлежат исполнению в полном объеме.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10.4. Любая из Сторон вправе в любое время отказаться от исполнения настоящего Договора путем направления письменного уведомления другой Стороне не менее чем за 30 (Тридцать) дней до даты его расторжения. 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10.5. В случае отказа Исполнителя от настоящего Договора, Исполнитель сохраняет право на оплату за услуги, фактически оказанные им до прекращения Договора.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10.6. В случае выявления в процессе оказания услуг невозможности достижения результатов услуг по причинам, не зависящим от Исполнителя, или в связи с технической невозможностью оказания услуг Исполнителем, Стороны обязаны обсудить целесообразность дальнейшего оказания услуг по данной заявке или Договору в целом и размер оплаты таких услуг Исполнителя.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10.7. Вся деловая и иная переписка осуществляется путем направления надлежаще-заверенных скан-копий документов по официальной электронной почте Сторон с обязательным последующим направлением оригиналов документов.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10.8. Договор подписан в двух экземплярах, имеющих одинаковую юридическую силу, один из которых находятся у Заказчика, второй - у Исполнителя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11. РЕКВИЗИТЫ И ПОДПИСИ СТОРОН: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98"/>
        <w:gridCol w:w="4998"/>
        <w:tblGridChange w:id="0">
          <w:tblGrid>
            <w:gridCol w:w="4998"/>
            <w:gridCol w:w="4998"/>
          </w:tblGrid>
        </w:tblGridChange>
      </w:tblGrid>
      <w:tr>
        <w:trPr>
          <w:trHeight w:val="1917" w:hRule="atLeast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Общество с ограниченной ответственностью «ГлавЭкоПром»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(ООО «ГлавЭкоПром»)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Юридический адрес: 121609, г. Москва, Осенняя ул., дом № 23, этаж 9,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помещение I-957, комната 34, офис 38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ИНН: 7703779432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КПП: 773101001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ОГРН: 1127747146284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ОКПО: 16338439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Расчетный счет: 40702810200000043213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Банк: ПАО "ПРОМСВЯЗЬБАНК"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БИК: 044525555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Корр. счет: 30101810400000000555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Email: 9055552288@mail.ru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_________________ / А.С. Гукасов 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Юридический адрес:  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ИНН:  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КПП:  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ОГРН:  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ОКПО:  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Расчетный счет: 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Банк:  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БИК:  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Корр. счет:  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Email: 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Адрес эл. почты: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_________________/                         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  <w:sectPr>
          <w:footerReference r:id="rId7" w:type="default"/>
          <w:pgSz w:h="16838" w:w="11906"/>
          <w:pgMar w:bottom="142" w:top="567" w:left="851" w:right="567" w:header="708" w:footer="708"/>
          <w:pgNumType w:start="1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0" w:line="240" w:lineRule="auto"/>
        <w:ind w:left="13452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</w:t>
        <w:tab/>
      </w:r>
    </w:p>
    <w:p w:rsidR="00000000" w:rsidDel="00000000" w:rsidP="00000000" w:rsidRDefault="00000000" w:rsidRPr="00000000" w14:paraId="0000009D">
      <w:pPr>
        <w:spacing w:after="0" w:line="240" w:lineRule="auto"/>
        <w:ind w:left="13452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Приложение № 1</w:t>
      </w:r>
    </w:p>
    <w:p w:rsidR="00000000" w:rsidDel="00000000" w:rsidP="00000000" w:rsidRDefault="00000000" w:rsidRPr="00000000" w14:paraId="0000009E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 Договору на оказание услуг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 вывозу твердых коммунальных отходов</w:t>
      </w:r>
    </w:p>
    <w:p w:rsidR="00000000" w:rsidDel="00000000" w:rsidP="00000000" w:rsidRDefault="00000000" w:rsidRPr="00000000" w14:paraId="0000009F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№__________   от «__» __________ 202_ года </w:t>
      </w:r>
    </w:p>
    <w:p w:rsidR="00000000" w:rsidDel="00000000" w:rsidP="00000000" w:rsidRDefault="00000000" w:rsidRPr="00000000" w14:paraId="000000A0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Стоимость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1. Стоимость услуг, предусмотренных п.1.1. Договора определяется исходя из следующих тарифов:</w:t>
      </w:r>
    </w:p>
    <w:p w:rsidR="00000000" w:rsidDel="00000000" w:rsidP="00000000" w:rsidRDefault="00000000" w:rsidRPr="00000000" w14:paraId="000000A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83.999999999998" w:type="dxa"/>
        <w:jc w:val="center"/>
        <w:tblLayout w:type="fixed"/>
        <w:tblLook w:val="0400"/>
      </w:tblPr>
      <w:tblGrid>
        <w:gridCol w:w="724"/>
        <w:gridCol w:w="4787"/>
        <w:gridCol w:w="1992"/>
        <w:gridCol w:w="2409"/>
        <w:gridCol w:w="3946"/>
        <w:gridCol w:w="1826"/>
        <w:tblGridChange w:id="0">
          <w:tblGrid>
            <w:gridCol w:w="724"/>
            <w:gridCol w:w="4787"/>
            <w:gridCol w:w="1992"/>
            <w:gridCol w:w="2409"/>
            <w:gridCol w:w="3946"/>
            <w:gridCol w:w="182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line="252.00000000000003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line="252.00000000000003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Адрес объекта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line="252.00000000000003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Объем ТКО запланированный к вывозу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line="252.00000000000003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Объем контейнеров (м3)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line="252.00000000000003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Стоимость вывоза одного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spacing w:line="252.00000000000003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График вывоза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single"/>
                <w:rtl w:val="0"/>
              </w:rPr>
              <w:t xml:space="preserve">       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single"/>
                <w:vertAlign w:val="superscript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u w:val="single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ind w:firstLine="1155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ind w:firstLine="1155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ind w:firstLine="1155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руб.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Ежедневно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 09.00 до 18.00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69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847"/>
        <w:gridCol w:w="7847"/>
        <w:tblGridChange w:id="0">
          <w:tblGrid>
            <w:gridCol w:w="7847"/>
            <w:gridCol w:w="7847"/>
          </w:tblGrid>
        </w:tblGridChange>
      </w:tblGrid>
      <w:tr>
        <w:tc>
          <w:tcPr/>
          <w:p w:rsidR="00000000" w:rsidDel="00000000" w:rsidP="00000000" w:rsidRDefault="00000000" w:rsidRPr="00000000" w14:paraId="000000D9">
            <w:pPr>
              <w:ind w:firstLine="1593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firstLine="1593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«Исполнитель»</w:t>
            </w:r>
          </w:p>
          <w:p w:rsidR="00000000" w:rsidDel="00000000" w:rsidP="00000000" w:rsidRDefault="00000000" w:rsidRPr="00000000" w14:paraId="000000DB">
            <w:pPr>
              <w:ind w:firstLine="1593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ind w:firstLine="1593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DD">
            <w:pPr>
              <w:ind w:firstLine="1593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ООО «ГлавЭкоПром»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__________________/А.С. Гукасов/</w:t>
            </w:r>
          </w:p>
          <w:p w:rsidR="00000000" w:rsidDel="00000000" w:rsidP="00000000" w:rsidRDefault="00000000" w:rsidRPr="00000000" w14:paraId="000000E0">
            <w:pPr>
              <w:ind w:firstLine="3436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«Заказчик»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_____________________/ _________________/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tabs>
          <w:tab w:val="center" w:pos="3199"/>
          <w:tab w:val="center" w:pos="6396"/>
        </w:tabs>
        <w:spacing w:after="0" w:line="240" w:lineRule="auto"/>
        <w:ind w:right="56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E9">
      <w:pPr>
        <w:tabs>
          <w:tab w:val="center" w:pos="3199"/>
          <w:tab w:val="center" w:pos="6396"/>
        </w:tabs>
        <w:spacing w:after="0" w:line="240" w:lineRule="auto"/>
        <w:ind w:right="56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center" w:pos="3199"/>
          <w:tab w:val="center" w:pos="6396"/>
        </w:tabs>
        <w:spacing w:after="0" w:line="240" w:lineRule="auto"/>
        <w:ind w:right="56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ind w:right="565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ind w:right="56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284" w:top="426" w:left="567" w:right="567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w:tab/>
      <w:tab/>
      <w:t xml:space="preserve">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www.glavecoprom.ru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142875</wp:posOffset>
          </wp:positionH>
          <wp:positionV relativeFrom="paragraph">
            <wp:posOffset>0</wp:posOffset>
          </wp:positionV>
          <wp:extent cx="1338460" cy="306517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8460" cy="30651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500" w:hanging="500"/>
      </w:pPr>
      <w:rPr/>
    </w:lvl>
    <w:lvl w:ilvl="1">
      <w:start w:val="2"/>
      <w:numFmt w:val="decimal"/>
      <w:lvlText w:val="%1.%2."/>
      <w:lvlJc w:val="left"/>
      <w:pPr>
        <w:ind w:left="500" w:hanging="500"/>
      </w:pPr>
      <w:rPr/>
    </w:lvl>
    <w:lvl w:ilvl="2">
      <w:start w:val="2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860" w:hanging="360"/>
      </w:pPr>
      <w:rPr/>
    </w:lvl>
    <w:lvl w:ilvl="1">
      <w:start w:val="1"/>
      <w:numFmt w:val="lowerLetter"/>
      <w:lvlText w:val="%2."/>
      <w:lvlJc w:val="left"/>
      <w:pPr>
        <w:ind w:left="1580" w:hanging="360"/>
      </w:pPr>
      <w:rPr/>
    </w:lvl>
    <w:lvl w:ilvl="2">
      <w:start w:val="1"/>
      <w:numFmt w:val="lowerRoman"/>
      <w:lvlText w:val="%3."/>
      <w:lvlJc w:val="right"/>
      <w:pPr>
        <w:ind w:left="2300" w:hanging="180"/>
      </w:pPr>
      <w:rPr/>
    </w:lvl>
    <w:lvl w:ilvl="3">
      <w:start w:val="1"/>
      <w:numFmt w:val="decimal"/>
      <w:lvlText w:val="%4."/>
      <w:lvlJc w:val="left"/>
      <w:pPr>
        <w:ind w:left="3020" w:hanging="360"/>
      </w:pPr>
      <w:rPr/>
    </w:lvl>
    <w:lvl w:ilvl="4">
      <w:start w:val="1"/>
      <w:numFmt w:val="lowerLetter"/>
      <w:lvlText w:val="%5."/>
      <w:lvlJc w:val="left"/>
      <w:pPr>
        <w:ind w:left="3740" w:hanging="360"/>
      </w:pPr>
      <w:rPr/>
    </w:lvl>
    <w:lvl w:ilvl="5">
      <w:start w:val="1"/>
      <w:numFmt w:val="lowerRoman"/>
      <w:lvlText w:val="%6."/>
      <w:lvlJc w:val="right"/>
      <w:pPr>
        <w:ind w:left="4460" w:hanging="180"/>
      </w:pPr>
      <w:rPr/>
    </w:lvl>
    <w:lvl w:ilvl="6">
      <w:start w:val="1"/>
      <w:numFmt w:val="decimal"/>
      <w:lvlText w:val="%7."/>
      <w:lvlJc w:val="left"/>
      <w:pPr>
        <w:ind w:left="5180" w:hanging="360"/>
      </w:pPr>
      <w:rPr/>
    </w:lvl>
    <w:lvl w:ilvl="7">
      <w:start w:val="1"/>
      <w:numFmt w:val="lowerLetter"/>
      <w:lvlText w:val="%8."/>
      <w:lvlJc w:val="left"/>
      <w:pPr>
        <w:ind w:left="5900" w:hanging="360"/>
      </w:pPr>
      <w:rPr/>
    </w:lvl>
    <w:lvl w:ilvl="8">
      <w:start w:val="1"/>
      <w:numFmt w:val="lowerRoman"/>
      <w:lvlText w:val="%9."/>
      <w:lvlJc w:val="right"/>
      <w:pPr>
        <w:ind w:left="6620" w:hanging="180"/>
      </w:pPr>
      <w:rPr/>
    </w:lvl>
  </w:abstractNum>
  <w:abstractNum w:abstractNumId="3">
    <w:lvl w:ilvl="0">
      <w:start w:val="4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decimal"/>
      <w:lvlText w:val="%1.%2."/>
      <w:lvlJc w:val="left"/>
      <w:pPr>
        <w:ind w:left="927" w:hanging="360"/>
      </w:pPr>
      <w:rPr/>
    </w:lvl>
    <w:lvl w:ilvl="2">
      <w:start w:val="1"/>
      <w:numFmt w:val="decimal"/>
      <w:lvlText w:val="%1.%2.%3."/>
      <w:lvlJc w:val="left"/>
      <w:pPr>
        <w:ind w:left="1287" w:hanging="720.0000000000001"/>
      </w:pPr>
      <w:rPr/>
    </w:lvl>
    <w:lvl w:ilvl="3">
      <w:start w:val="1"/>
      <w:numFmt w:val="decimal"/>
      <w:lvlText w:val="%1.%2.%3.%4."/>
      <w:lvlJc w:val="left"/>
      <w:pPr>
        <w:ind w:left="1287" w:hanging="720.0000000000001"/>
      </w:pPr>
      <w:rPr/>
    </w:lvl>
    <w:lvl w:ilvl="4">
      <w:start w:val="1"/>
      <w:numFmt w:val="decimal"/>
      <w:lvlText w:val="%1.%2.%3.%4.%5."/>
      <w:lvlJc w:val="left"/>
      <w:pPr>
        <w:ind w:left="1647" w:hanging="1080"/>
      </w:pPr>
      <w:rPr/>
    </w:lvl>
    <w:lvl w:ilvl="5">
      <w:start w:val="1"/>
      <w:numFmt w:val="decimal"/>
      <w:lvlText w:val="%1.%2.%3.%4.%5.%6."/>
      <w:lvlJc w:val="left"/>
      <w:pPr>
        <w:ind w:left="1647" w:hanging="1080"/>
      </w:pPr>
      <w:rPr/>
    </w:lvl>
    <w:lvl w:ilvl="6">
      <w:start w:val="1"/>
      <w:numFmt w:val="decimal"/>
      <w:lvlText w:val="%1.%2.%3.%4.%5.%6.%7."/>
      <w:lvlJc w:val="left"/>
      <w:pPr>
        <w:ind w:left="2007" w:hanging="1440"/>
      </w:pPr>
      <w:rPr/>
    </w:lvl>
    <w:lvl w:ilvl="7">
      <w:start w:val="1"/>
      <w:numFmt w:val="decimal"/>
      <w:lvlText w:val="%1.%2.%3.%4.%5.%6.%7.%8."/>
      <w:lvlJc w:val="left"/>
      <w:pPr>
        <w:ind w:left="2007" w:hanging="1440"/>
      </w:pPr>
      <w:rPr/>
    </w:lvl>
    <w:lvl w:ilvl="8">
      <w:start w:val="1"/>
      <w:numFmt w:val="decimal"/>
      <w:lvlText w:val="%1.%2.%3.%4.%5.%6.%7.%8.%9."/>
      <w:lvlJc w:val="left"/>
      <w:pPr>
        <w:ind w:left="2367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AF6B17"/>
    <w:pPr>
      <w:spacing w:after="0" w:line="240" w:lineRule="auto"/>
    </w:pPr>
  </w:style>
  <w:style w:type="table" w:styleId="a4">
    <w:name w:val="Table Grid"/>
    <w:basedOn w:val="a1"/>
    <w:rsid w:val="000E7889"/>
    <w:pPr>
      <w:spacing w:after="0" w:line="240" w:lineRule="auto"/>
    </w:pPr>
    <w:rPr>
      <w:rFonts w:ascii="Liberation Serif" w:cs="FreeSans" w:eastAsia="Droid Sans Fallback" w:hAnsi="Liberation Serif"/>
      <w:sz w:val="20"/>
      <w:szCs w:val="20"/>
      <w:lang w:eastAsia="ru-RU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List Paragraph"/>
    <w:basedOn w:val="a"/>
    <w:uiPriority w:val="34"/>
    <w:qFormat w:val="1"/>
    <w:rsid w:val="00516CB0"/>
    <w:pPr>
      <w:ind w:left="720"/>
      <w:contextualSpacing w:val="1"/>
    </w:pPr>
  </w:style>
  <w:style w:type="paragraph" w:styleId="a6">
    <w:name w:val="Revision"/>
    <w:hidden w:val="1"/>
    <w:uiPriority w:val="99"/>
    <w:semiHidden w:val="1"/>
    <w:rsid w:val="009754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 w:val="1"/>
    <w:unhideWhenUsed w:val="1"/>
    <w:rsid w:val="00975458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975458"/>
    <w:rPr>
      <w:rFonts w:ascii="Times New Roman" w:cs="Times New Roman" w:hAnsi="Times New Roman"/>
      <w:sz w:val="18"/>
      <w:szCs w:val="18"/>
    </w:rPr>
  </w:style>
  <w:style w:type="paragraph" w:styleId="a9">
    <w:name w:val="Title"/>
    <w:basedOn w:val="a"/>
    <w:link w:val="aa"/>
    <w:qFormat w:val="1"/>
    <w:rsid w:val="00FC61BA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4"/>
      <w:lang w:eastAsia="ru-RU"/>
    </w:rPr>
  </w:style>
  <w:style w:type="character" w:styleId="aa" w:customStyle="1">
    <w:name w:val="Название Знак"/>
    <w:basedOn w:val="a0"/>
    <w:link w:val="a9"/>
    <w:rsid w:val="00FC61BA"/>
    <w:rPr>
      <w:rFonts w:ascii="Times New Roman" w:cs="Times New Roman" w:eastAsia="Times New Roman" w:hAnsi="Times New Roman"/>
      <w:b w:val="1"/>
      <w:sz w:val="28"/>
      <w:szCs w:val="24"/>
      <w:lang w:eastAsia="ru-RU"/>
    </w:rPr>
  </w:style>
  <w:style w:type="character" w:styleId="2" w:customStyle="1">
    <w:name w:val="Основной текст (2)_"/>
    <w:basedOn w:val="a0"/>
    <w:link w:val="20"/>
    <w:rsid w:val="00FC61BA"/>
    <w:rPr>
      <w:rFonts w:ascii="Times New Roman" w:cs="Times New Roman" w:eastAsia="Times New Roman" w:hAnsi="Times New Roman"/>
      <w:shd w:color="auto" w:fill="ffffff" w:val="clear"/>
    </w:rPr>
  </w:style>
  <w:style w:type="character" w:styleId="21" w:customStyle="1">
    <w:name w:val="Основной текст (2) + Полужирный"/>
    <w:basedOn w:val="2"/>
    <w:rsid w:val="00FC61BA"/>
    <w:rPr>
      <w:rFonts w:ascii="Times New Roman" w:cs="Times New Roman" w:eastAsia="Times New Roman" w:hAnsi="Times New Roman"/>
      <w:b w:val="1"/>
      <w:bCs w:val="1"/>
      <w:color w:val="000000"/>
      <w:spacing w:val="0"/>
      <w:w w:val="100"/>
      <w:position w:val="0"/>
      <w:sz w:val="24"/>
      <w:szCs w:val="24"/>
      <w:shd w:color="auto" w:fill="ffffff" w:val="clear"/>
      <w:lang w:bidi="ru-RU" w:eastAsia="ru-RU" w:val="ru-RU"/>
    </w:rPr>
  </w:style>
  <w:style w:type="paragraph" w:styleId="20" w:customStyle="1">
    <w:name w:val="Основной текст (2)"/>
    <w:basedOn w:val="a"/>
    <w:link w:val="2"/>
    <w:rsid w:val="00FC61BA"/>
    <w:pPr>
      <w:widowControl w:val="0"/>
      <w:shd w:color="auto" w:fill="ffffff" w:val="clear"/>
      <w:spacing w:after="360" w:before="600" w:line="0" w:lineRule="atLeast"/>
      <w:jc w:val="both"/>
    </w:pPr>
    <w:rPr>
      <w:rFonts w:ascii="Times New Roman" w:cs="Times New Roman" w:eastAsia="Times New Roman" w:hAnsi="Times New Roman"/>
    </w:rPr>
  </w:style>
  <w:style w:type="paragraph" w:styleId="ab">
    <w:name w:val="annotation text"/>
    <w:basedOn w:val="a"/>
    <w:link w:val="ac"/>
    <w:uiPriority w:val="99"/>
    <w:semiHidden w:val="1"/>
    <w:unhideWhenUsed w:val="1"/>
    <w:rsid w:val="00FC61BA"/>
    <w:pPr>
      <w:spacing w:line="240" w:lineRule="auto"/>
    </w:pPr>
    <w:rPr>
      <w:sz w:val="24"/>
      <w:szCs w:val="24"/>
    </w:rPr>
  </w:style>
  <w:style w:type="character" w:styleId="ac" w:customStyle="1">
    <w:name w:val="Текст примечания Знак"/>
    <w:basedOn w:val="a0"/>
    <w:link w:val="ab"/>
    <w:uiPriority w:val="99"/>
    <w:semiHidden w:val="1"/>
    <w:rsid w:val="00FC61BA"/>
    <w:rPr>
      <w:sz w:val="24"/>
      <w:szCs w:val="24"/>
    </w:rPr>
  </w:style>
  <w:style w:type="character" w:styleId="ad">
    <w:name w:val="annotation reference"/>
    <w:basedOn w:val="a0"/>
    <w:uiPriority w:val="99"/>
    <w:semiHidden w:val="1"/>
    <w:unhideWhenUsed w:val="1"/>
    <w:rsid w:val="00FC61BA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 w:val="1"/>
    <w:unhideWhenUsed w:val="1"/>
    <w:rsid w:val="00193BD6"/>
    <w:rPr>
      <w:b w:val="1"/>
      <w:bCs w:val="1"/>
      <w:sz w:val="20"/>
      <w:szCs w:val="20"/>
    </w:rPr>
  </w:style>
  <w:style w:type="character" w:styleId="af" w:customStyle="1">
    <w:name w:val="Тема примечания Знак"/>
    <w:basedOn w:val="ac"/>
    <w:link w:val="ae"/>
    <w:uiPriority w:val="99"/>
    <w:semiHidden w:val="1"/>
    <w:rsid w:val="00193BD6"/>
    <w:rPr>
      <w:b w:val="1"/>
      <w:bCs w:val="1"/>
      <w:sz w:val="20"/>
      <w:szCs w:val="20"/>
    </w:rPr>
  </w:style>
  <w:style w:type="character" w:styleId="af0">
    <w:name w:val="Hyperlink"/>
    <w:basedOn w:val="a0"/>
    <w:rsid w:val="00D315C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 w:val="1"/>
    <w:unhideWhenUsed w:val="1"/>
    <w:rsid w:val="00595DBD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 w:val="1"/>
    <w:rsid w:val="00FE5634"/>
    <w:pPr>
      <w:tabs>
        <w:tab w:val="center" w:pos="4677"/>
        <w:tab w:val="right" w:pos="9355"/>
      </w:tabs>
      <w:spacing w:after="0" w:line="240" w:lineRule="auto"/>
    </w:pPr>
  </w:style>
  <w:style w:type="character" w:styleId="af3" w:customStyle="1">
    <w:name w:val="Верхний колонтитул Знак"/>
    <w:basedOn w:val="a0"/>
    <w:link w:val="af2"/>
    <w:uiPriority w:val="99"/>
    <w:rsid w:val="00FE5634"/>
  </w:style>
  <w:style w:type="paragraph" w:styleId="af4">
    <w:name w:val="footer"/>
    <w:basedOn w:val="a"/>
    <w:link w:val="af5"/>
    <w:uiPriority w:val="99"/>
    <w:unhideWhenUsed w:val="1"/>
    <w:rsid w:val="00FE5634"/>
    <w:pPr>
      <w:tabs>
        <w:tab w:val="center" w:pos="4677"/>
        <w:tab w:val="right" w:pos="9355"/>
      </w:tabs>
      <w:spacing w:after="0" w:line="240" w:lineRule="auto"/>
    </w:pPr>
  </w:style>
  <w:style w:type="character" w:styleId="af5" w:customStyle="1">
    <w:name w:val="Нижний колонтитул Знак"/>
    <w:basedOn w:val="a0"/>
    <w:link w:val="af4"/>
    <w:uiPriority w:val="99"/>
    <w:rsid w:val="00FE5634"/>
  </w:style>
  <w:style w:type="paragraph" w:styleId="ConsPlusNonformat" w:customStyle="1">
    <w:name w:val="ConsPlusNonformat"/>
    <w:rsid w:val="00CA6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PlusNormal" w:customStyle="1">
    <w:name w:val="ConsPlusNormal"/>
    <w:link w:val="ConsPlusNormal0"/>
    <w:qFormat w:val="1"/>
    <w:rsid w:val="004F6D88"/>
    <w:pPr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character" w:styleId="ConsPlusNormal0" w:customStyle="1">
    <w:name w:val="ConsPlusNormal Знак"/>
    <w:link w:val="ConsPlusNormal"/>
    <w:locked w:val="1"/>
    <w:rsid w:val="004F6D88"/>
    <w:rPr>
      <w:rFonts w:ascii="Arial" w:cs="Arial" w:eastAsia="Times New Roman" w:hAnsi="Arial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Liberation Serif" w:cs="Liberation Serif" w:eastAsia="Liberation Serif" w:hAnsi="Liberation Serif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rPr>
      <w:rFonts w:ascii="Liberation Serif" w:cs="Liberation Serif" w:eastAsia="Liberation Serif" w:hAnsi="Liberation Serif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lavecoprom.ru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tyYX5t9Jv+RCtlcAhse+kNJEA==">AMUW2mWC2CuoV91gDkDdSVjzlHA6uz5/tV1zEHEtbQC3v/WNv0HBDcwvIdjgrU2GlkM3mvdgBEFwFD9qdp5uInCMIFI/iTACh65wgIHVVcD/yR1+0QbyNsOnUaTjrqFmjVx+zasvAth4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2020-07-08T14:50:00Z</dcterms:created>
  <dc:creator>Мхитарян Эдгар</dc:creator>
</cp:coreProperties>
</file>